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554"/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796"/>
      </w:tblGrid>
      <w:tr w:rsidR="0049325F" w:rsidRPr="00CB1F75" w14:paraId="2FB2182C" w14:textId="77777777" w:rsidTr="004D643F">
        <w:trPr>
          <w:trHeight w:val="20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375F7DA" w14:textId="15B96C2E" w:rsidR="0049325F" w:rsidRPr="00CB1F75" w:rsidRDefault="0049325F" w:rsidP="004D643F">
            <w:pPr>
              <w:spacing w:after="0"/>
              <w:rPr>
                <w:rFonts w:cstheme="minorHAnsi"/>
              </w:rPr>
            </w:pPr>
            <w:r w:rsidRPr="00CB1F75">
              <w:rPr>
                <w:rFonts w:cstheme="minorHAnsi"/>
                <w:b/>
                <w:bCs/>
                <w:color w:val="FFFFFF" w:themeColor="background1"/>
              </w:rPr>
              <w:t xml:space="preserve">Cover page </w:t>
            </w:r>
          </w:p>
        </w:tc>
      </w:tr>
      <w:tr w:rsidR="0049325F" w:rsidRPr="00CB1F75" w14:paraId="5F83D7E7" w14:textId="77777777" w:rsidTr="004D643F">
        <w:trPr>
          <w:trHeight w:val="2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5E562FBE" w14:textId="77777777" w:rsidR="0049325F" w:rsidRPr="00E03459" w:rsidRDefault="0049325F" w:rsidP="004D643F">
            <w:pPr>
              <w:spacing w:after="0"/>
              <w:rPr>
                <w:rFonts w:cstheme="minorHAnsi"/>
                <w:b/>
                <w:bCs/>
              </w:rPr>
            </w:pPr>
            <w:r w:rsidRPr="00E03459">
              <w:rPr>
                <w:rFonts w:cstheme="minorHAnsi"/>
                <w:b/>
                <w:bCs/>
              </w:rPr>
              <w:t>Document type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B726B1C" w14:textId="77777777" w:rsidR="0049325F" w:rsidRPr="00CB1F75" w:rsidRDefault="00C012B9" w:rsidP="004D643F">
            <w:pPr>
              <w:spacing w:after="0"/>
              <w:jc w:val="both"/>
              <w:rPr>
                <w:rFonts w:cstheme="minorHAnsi"/>
              </w:rPr>
            </w:pPr>
            <w:r w:rsidRPr="00CB1F75">
              <w:rPr>
                <w:rFonts w:cstheme="minorHAnsi"/>
              </w:rPr>
              <w:t>Best Practice Principles</w:t>
            </w:r>
            <w:r w:rsidR="001D06F5">
              <w:rPr>
                <w:rFonts w:cstheme="minorHAnsi"/>
              </w:rPr>
              <w:t>, Pathway, Triage Questionnaire and Nurse Led Proforma</w:t>
            </w:r>
          </w:p>
        </w:tc>
      </w:tr>
      <w:tr w:rsidR="0049325F" w:rsidRPr="00CB1F75" w14:paraId="51D046F4" w14:textId="77777777" w:rsidTr="004D643F">
        <w:trPr>
          <w:trHeight w:val="2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5FFEA4BD" w14:textId="77777777" w:rsidR="0049325F" w:rsidRPr="00E03459" w:rsidRDefault="0049325F" w:rsidP="004D643F">
            <w:pPr>
              <w:spacing w:after="0"/>
              <w:rPr>
                <w:rFonts w:cstheme="minorHAnsi"/>
                <w:b/>
                <w:bCs/>
              </w:rPr>
            </w:pPr>
            <w:r w:rsidRPr="00E03459">
              <w:rPr>
                <w:rFonts w:cstheme="minorHAnsi"/>
                <w:b/>
                <w:bCs/>
              </w:rPr>
              <w:t>Document name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4702CF1C" w14:textId="77777777" w:rsidR="0049325F" w:rsidRPr="00CB1F75" w:rsidRDefault="001D06F5" w:rsidP="004D643F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Preassessment Bundle</w:t>
            </w:r>
          </w:p>
        </w:tc>
      </w:tr>
      <w:tr w:rsidR="0049325F" w:rsidRPr="00CB1F75" w14:paraId="118B0428" w14:textId="77777777" w:rsidTr="004D643F">
        <w:trPr>
          <w:trHeight w:val="2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3E3EDA0E" w14:textId="77777777" w:rsidR="0049325F" w:rsidRPr="00E03459" w:rsidRDefault="0049325F" w:rsidP="004D643F">
            <w:pPr>
              <w:spacing w:after="0"/>
              <w:rPr>
                <w:rFonts w:cstheme="minorHAnsi"/>
                <w:b/>
                <w:bCs/>
              </w:rPr>
            </w:pPr>
            <w:r w:rsidRPr="00E03459">
              <w:rPr>
                <w:rFonts w:cstheme="minorHAnsi"/>
                <w:b/>
                <w:bCs/>
              </w:rPr>
              <w:t>Document location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0C4015A5" w14:textId="77777777" w:rsidR="0049325F" w:rsidRPr="00CB1F75" w:rsidRDefault="0049325F" w:rsidP="004D643F">
            <w:pPr>
              <w:spacing w:after="0"/>
              <w:jc w:val="both"/>
              <w:rPr>
                <w:rFonts w:cstheme="minorHAnsi"/>
              </w:rPr>
            </w:pPr>
            <w:r w:rsidRPr="00CB1F75">
              <w:rPr>
                <w:rFonts w:cstheme="minorHAnsi"/>
              </w:rPr>
              <w:t>STPN website</w:t>
            </w:r>
          </w:p>
        </w:tc>
      </w:tr>
      <w:tr w:rsidR="0049325F" w:rsidRPr="00CB1F75" w14:paraId="73822FE8" w14:textId="77777777" w:rsidTr="004D643F">
        <w:trPr>
          <w:trHeight w:val="2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D2B2243" w14:textId="77777777" w:rsidR="0049325F" w:rsidRPr="00E03459" w:rsidRDefault="0049325F" w:rsidP="004D643F">
            <w:pPr>
              <w:spacing w:after="0"/>
              <w:rPr>
                <w:rFonts w:cstheme="minorHAnsi"/>
                <w:b/>
                <w:bCs/>
              </w:rPr>
            </w:pPr>
            <w:r w:rsidRPr="00E03459">
              <w:rPr>
                <w:rFonts w:cstheme="minorHAnsi"/>
                <w:b/>
                <w:bCs/>
              </w:rPr>
              <w:t>Document target audience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ACE32DE" w14:textId="77777777" w:rsidR="0049325F" w:rsidRPr="00CB1F75" w:rsidRDefault="0049325F" w:rsidP="004D643F">
            <w:pPr>
              <w:spacing w:after="0"/>
              <w:jc w:val="both"/>
              <w:rPr>
                <w:rFonts w:cstheme="minorHAnsi"/>
              </w:rPr>
            </w:pPr>
            <w:r w:rsidRPr="00CB1F75">
              <w:rPr>
                <w:rFonts w:cstheme="minorHAnsi"/>
              </w:rPr>
              <w:t xml:space="preserve">All tertiary specialist centre &amp; District General Hospital (DGH) staff involved in the </w:t>
            </w:r>
            <w:r w:rsidR="001D06F5">
              <w:rPr>
                <w:rFonts w:cstheme="minorHAnsi"/>
              </w:rPr>
              <w:t>preparation of children for surgery</w:t>
            </w:r>
          </w:p>
        </w:tc>
      </w:tr>
      <w:tr w:rsidR="0049325F" w:rsidRPr="00CB1F75" w14:paraId="41A04B47" w14:textId="77777777" w:rsidTr="004D643F">
        <w:trPr>
          <w:trHeight w:val="2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6474DF80" w14:textId="77777777" w:rsidR="0049325F" w:rsidRPr="00E03459" w:rsidRDefault="0049325F" w:rsidP="004D643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03459">
              <w:rPr>
                <w:rFonts w:cstheme="minorHAnsi"/>
                <w:b/>
                <w:bCs/>
              </w:rPr>
              <w:t>Document target patient group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2AF1407" w14:textId="77777777" w:rsidR="0049325F" w:rsidRPr="00CB1F75" w:rsidRDefault="001D06F5" w:rsidP="004D643F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Children (under 16</w:t>
            </w:r>
            <w:r w:rsidR="008A3FB7">
              <w:rPr>
                <w:rFonts w:cstheme="minorHAnsi"/>
              </w:rPr>
              <w:t>yrs</w:t>
            </w:r>
            <w:r>
              <w:rPr>
                <w:rFonts w:cstheme="minorHAnsi"/>
              </w:rPr>
              <w:t>)* undergoing surgery, or a procedure, or an investigation under anaesthetic</w:t>
            </w:r>
            <w:r w:rsidR="008A3FB7">
              <w:rPr>
                <w:rFonts w:cstheme="minorHAnsi"/>
              </w:rPr>
              <w:t>. *Up to 18yrs for children and young people with complex needs</w:t>
            </w:r>
          </w:p>
        </w:tc>
      </w:tr>
      <w:tr w:rsidR="0049325F" w:rsidRPr="00CB1F75" w14:paraId="4A9AFC4F" w14:textId="77777777" w:rsidTr="004D643F">
        <w:trPr>
          <w:trHeight w:val="2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3D74AAA6" w14:textId="77777777" w:rsidR="0049325F" w:rsidRPr="00E03459" w:rsidRDefault="0049325F" w:rsidP="004D643F">
            <w:pPr>
              <w:spacing w:after="0"/>
              <w:rPr>
                <w:rFonts w:cstheme="minorHAnsi"/>
                <w:b/>
                <w:bCs/>
              </w:rPr>
            </w:pPr>
            <w:r w:rsidRPr="00E03459">
              <w:rPr>
                <w:rFonts w:cstheme="minorHAnsi"/>
                <w:b/>
                <w:bCs/>
              </w:rPr>
              <w:t>Summary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3FC38390" w14:textId="77777777" w:rsidR="0049325F" w:rsidRPr="00CB1F75" w:rsidRDefault="001D06F5" w:rsidP="004D643F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Preassessment of children</w:t>
            </w:r>
            <w:r w:rsidR="008A3FB7">
              <w:rPr>
                <w:rFonts w:cstheme="minorHAnsi"/>
              </w:rPr>
              <w:t xml:space="preserve"> and young people</w:t>
            </w:r>
            <w:r>
              <w:rPr>
                <w:rFonts w:cstheme="minorHAnsi"/>
              </w:rPr>
              <w:t xml:space="preserve"> prior to surgery and an anaesthetic improves patient safety, promotes </w:t>
            </w:r>
            <w:r w:rsidR="00F12386">
              <w:rPr>
                <w:rFonts w:cstheme="minorHAnsi"/>
              </w:rPr>
              <w:t>efficiency</w:t>
            </w:r>
            <w:r>
              <w:rPr>
                <w:rFonts w:cstheme="minorHAnsi"/>
              </w:rPr>
              <w:t xml:space="preserve"> and improves the patient experience. </w:t>
            </w:r>
            <w:r w:rsidR="0049325F" w:rsidRPr="00CB1F75">
              <w:rPr>
                <w:rFonts w:cstheme="minorHAnsi"/>
              </w:rPr>
              <w:t>The document</w:t>
            </w:r>
            <w:r>
              <w:rPr>
                <w:rFonts w:cstheme="minorHAnsi"/>
              </w:rPr>
              <w:t xml:space="preserve"> bundle set out best practise guidance for paediatric preassessment, the pathway for preassessment, a tr</w:t>
            </w:r>
            <w:r w:rsidR="001C7B19">
              <w:rPr>
                <w:rFonts w:cstheme="minorHAnsi"/>
              </w:rPr>
              <w:t xml:space="preserve">iage questionnaire to appropriately </w:t>
            </w:r>
            <w:r w:rsidR="00F12386">
              <w:rPr>
                <w:rFonts w:cstheme="minorHAnsi"/>
              </w:rPr>
              <w:t>tailor</w:t>
            </w:r>
            <w:r>
              <w:rPr>
                <w:rFonts w:cstheme="minorHAnsi"/>
              </w:rPr>
              <w:t xml:space="preserve"> </w:t>
            </w:r>
            <w:r w:rsidR="001C7B19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preassessment </w:t>
            </w:r>
            <w:r w:rsidR="001C7B19">
              <w:rPr>
                <w:rFonts w:cstheme="minorHAnsi"/>
              </w:rPr>
              <w:t>to meet</w:t>
            </w:r>
            <w:r>
              <w:rPr>
                <w:rFonts w:cstheme="minorHAnsi"/>
              </w:rPr>
              <w:t xml:space="preserve"> each child</w:t>
            </w:r>
            <w:r w:rsidR="008A3FB7">
              <w:rPr>
                <w:rFonts w:cstheme="minorHAnsi"/>
              </w:rPr>
              <w:t xml:space="preserve"> or young person</w:t>
            </w:r>
            <w:r>
              <w:rPr>
                <w:rFonts w:cstheme="minorHAnsi"/>
              </w:rPr>
              <w:t xml:space="preserve">’s needs and </w:t>
            </w:r>
            <w:r w:rsidR="001C7B19">
              <w:rPr>
                <w:rFonts w:cstheme="minorHAnsi"/>
              </w:rPr>
              <w:t>a proforma for nurse led assessment.</w:t>
            </w:r>
          </w:p>
        </w:tc>
      </w:tr>
      <w:tr w:rsidR="0049325F" w:rsidRPr="00CB1F75" w14:paraId="7532D56F" w14:textId="77777777" w:rsidTr="004D643F">
        <w:trPr>
          <w:trHeight w:val="2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36CE4A1A" w14:textId="77777777" w:rsidR="0049325F" w:rsidRPr="00E03459" w:rsidRDefault="0049325F" w:rsidP="004D643F">
            <w:pPr>
              <w:rPr>
                <w:rFonts w:cstheme="minorHAnsi"/>
                <w:b/>
                <w:bCs/>
              </w:rPr>
            </w:pPr>
            <w:r w:rsidRPr="00E03459">
              <w:rPr>
                <w:rFonts w:cstheme="minorHAnsi"/>
                <w:b/>
                <w:bCs/>
              </w:rPr>
              <w:t>Reason for development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2FD9466" w14:textId="77777777" w:rsidR="0049325F" w:rsidRPr="00CB1F75" w:rsidRDefault="001C7B19" w:rsidP="004D643F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Newly published preassessment guidance from the </w:t>
            </w:r>
            <w:r w:rsidR="00F12386">
              <w:rPr>
                <w:rFonts w:cstheme="minorHAnsi"/>
              </w:rPr>
              <w:t>Association</w:t>
            </w:r>
            <w:r>
              <w:rPr>
                <w:rFonts w:cstheme="minorHAnsi"/>
              </w:rPr>
              <w:t xml:space="preserve"> of Paediatric </w:t>
            </w:r>
            <w:r w:rsidR="00F12386">
              <w:rPr>
                <w:rFonts w:cstheme="minorHAnsi"/>
              </w:rPr>
              <w:t>Anaesthetists</w:t>
            </w:r>
            <w:r>
              <w:rPr>
                <w:rFonts w:cstheme="minorHAnsi"/>
              </w:rPr>
              <w:t xml:space="preserve"> of Great Britain and Ireland in 2022. Preassessment </w:t>
            </w:r>
            <w:r w:rsidR="00F12386">
              <w:rPr>
                <w:rFonts w:cstheme="minorHAnsi"/>
              </w:rPr>
              <w:t>services</w:t>
            </w:r>
            <w:r>
              <w:rPr>
                <w:rFonts w:cstheme="minorHAnsi"/>
              </w:rPr>
              <w:t xml:space="preserve"> in paediatrics are not as developed as they are in adult services, despite</w:t>
            </w:r>
            <w:r w:rsidR="008725B2">
              <w:rPr>
                <w:rFonts w:cstheme="minorHAnsi"/>
              </w:rPr>
              <w:t xml:space="preserve"> the need for</w:t>
            </w:r>
            <w:r>
              <w:rPr>
                <w:rFonts w:cstheme="minorHAnsi"/>
              </w:rPr>
              <w:t xml:space="preserve"> </w:t>
            </w:r>
            <w:r w:rsidR="00F12386">
              <w:rPr>
                <w:rFonts w:cstheme="minorHAnsi"/>
              </w:rPr>
              <w:t>psychological</w:t>
            </w:r>
            <w:r>
              <w:rPr>
                <w:rFonts w:cstheme="minorHAnsi"/>
              </w:rPr>
              <w:t xml:space="preserve"> preparation being greater in children. The STPN would like to </w:t>
            </w:r>
            <w:r w:rsidR="00F12386">
              <w:rPr>
                <w:rFonts w:cstheme="minorHAnsi"/>
              </w:rPr>
              <w:t>achieve</w:t>
            </w:r>
            <w:r>
              <w:rPr>
                <w:rFonts w:cstheme="minorHAnsi"/>
              </w:rPr>
              <w:t xml:space="preserve"> equitable access to preassessment services for children across the network, and ensure that they meet the standards set. </w:t>
            </w:r>
          </w:p>
        </w:tc>
      </w:tr>
      <w:tr w:rsidR="0049325F" w:rsidRPr="00CB1F75" w14:paraId="6EDB86B2" w14:textId="77777777" w:rsidTr="004D643F">
        <w:trPr>
          <w:trHeight w:val="2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3A32EEFF" w14:textId="77777777" w:rsidR="0049325F" w:rsidRPr="00E03459" w:rsidRDefault="0049325F" w:rsidP="004D643F">
            <w:pPr>
              <w:spacing w:after="0"/>
              <w:rPr>
                <w:rFonts w:cstheme="minorHAnsi"/>
                <w:b/>
                <w:bCs/>
              </w:rPr>
            </w:pPr>
            <w:r w:rsidRPr="00E03459">
              <w:rPr>
                <w:rFonts w:cstheme="minorHAnsi"/>
                <w:b/>
                <w:bCs/>
              </w:rPr>
              <w:t>Version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4F078739" w14:textId="77777777" w:rsidR="0049325F" w:rsidRPr="00CB1F75" w:rsidRDefault="0049325F" w:rsidP="004D643F">
            <w:pPr>
              <w:spacing w:after="0"/>
              <w:jc w:val="both"/>
              <w:rPr>
                <w:rFonts w:cstheme="minorHAnsi"/>
              </w:rPr>
            </w:pPr>
            <w:r w:rsidRPr="00CB1F75">
              <w:rPr>
                <w:rFonts w:cstheme="minorHAnsi"/>
              </w:rPr>
              <w:t>1</w:t>
            </w:r>
          </w:p>
        </w:tc>
      </w:tr>
      <w:tr w:rsidR="0049325F" w:rsidRPr="00CB1F75" w14:paraId="6B1F77EF" w14:textId="77777777" w:rsidTr="004D643F">
        <w:trPr>
          <w:trHeight w:val="2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6CB5791" w14:textId="77777777" w:rsidR="0049325F" w:rsidRPr="00E03459" w:rsidRDefault="0049325F" w:rsidP="004D643F">
            <w:pPr>
              <w:spacing w:after="0"/>
              <w:rPr>
                <w:rFonts w:cstheme="minorHAnsi"/>
                <w:b/>
                <w:bCs/>
              </w:rPr>
            </w:pPr>
            <w:r w:rsidRPr="00E03459">
              <w:rPr>
                <w:rFonts w:cstheme="minorHAnsi"/>
                <w:b/>
                <w:bCs/>
              </w:rPr>
              <w:t>Effective from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1EB4E15" w14:textId="77777777" w:rsidR="0049325F" w:rsidRPr="00CB1F75" w:rsidRDefault="008725B2" w:rsidP="004D643F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  <w:iCs/>
              </w:rPr>
              <w:t>Febr</w:t>
            </w:r>
            <w:r w:rsidR="001C7B19">
              <w:rPr>
                <w:rFonts w:cstheme="minorHAnsi"/>
                <w:iCs/>
              </w:rPr>
              <w:t>uary 2023</w:t>
            </w:r>
          </w:p>
        </w:tc>
      </w:tr>
      <w:tr w:rsidR="0049325F" w:rsidRPr="00CB1F75" w14:paraId="55E10DFA" w14:textId="77777777" w:rsidTr="004D643F">
        <w:trPr>
          <w:trHeight w:val="2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3148F2DA" w14:textId="77777777" w:rsidR="0049325F" w:rsidRPr="00E03459" w:rsidRDefault="0049325F" w:rsidP="004D643F">
            <w:pPr>
              <w:spacing w:after="0"/>
              <w:rPr>
                <w:rFonts w:cstheme="minorHAnsi"/>
                <w:b/>
                <w:bCs/>
              </w:rPr>
            </w:pPr>
            <w:r w:rsidRPr="00E03459">
              <w:rPr>
                <w:rFonts w:cstheme="minorHAnsi"/>
                <w:b/>
                <w:bCs/>
              </w:rPr>
              <w:t>Review date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569965BE" w14:textId="77777777" w:rsidR="0049325F" w:rsidRPr="00CB1F75" w:rsidRDefault="008725B2" w:rsidP="004D643F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  <w:iCs/>
              </w:rPr>
              <w:t>Febr</w:t>
            </w:r>
            <w:r w:rsidR="001C7B19">
              <w:rPr>
                <w:rFonts w:cstheme="minorHAnsi"/>
                <w:iCs/>
              </w:rPr>
              <w:t>uary 2024</w:t>
            </w:r>
          </w:p>
        </w:tc>
      </w:tr>
      <w:tr w:rsidR="0049325F" w:rsidRPr="00CB1F75" w14:paraId="16FC424B" w14:textId="77777777" w:rsidTr="004D643F">
        <w:trPr>
          <w:trHeight w:val="2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35E21580" w14:textId="77777777" w:rsidR="0049325F" w:rsidRPr="00E03459" w:rsidRDefault="0049325F" w:rsidP="004D643F">
            <w:pPr>
              <w:spacing w:after="0"/>
              <w:rPr>
                <w:rFonts w:cstheme="minorHAnsi"/>
                <w:b/>
                <w:bCs/>
              </w:rPr>
            </w:pPr>
            <w:r w:rsidRPr="00E03459">
              <w:rPr>
                <w:rFonts w:cstheme="minorHAnsi"/>
                <w:b/>
                <w:bCs/>
              </w:rPr>
              <w:t>Owner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3D5F95A2" w14:textId="77777777" w:rsidR="0049325F" w:rsidRPr="00CB1F75" w:rsidRDefault="0049325F" w:rsidP="004D643F">
            <w:pPr>
              <w:spacing w:after="0"/>
              <w:jc w:val="both"/>
              <w:rPr>
                <w:rFonts w:cstheme="minorHAnsi"/>
              </w:rPr>
            </w:pPr>
            <w:r w:rsidRPr="00CB1F75">
              <w:rPr>
                <w:rFonts w:cstheme="minorHAnsi"/>
              </w:rPr>
              <w:t>STPN SIC ODN team</w:t>
            </w:r>
          </w:p>
        </w:tc>
      </w:tr>
      <w:tr w:rsidR="0049325F" w:rsidRPr="00CB1F75" w14:paraId="67B24DAD" w14:textId="77777777" w:rsidTr="004D643F">
        <w:trPr>
          <w:trHeight w:val="2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6687F3F0" w14:textId="77777777" w:rsidR="0049325F" w:rsidRPr="00E03459" w:rsidRDefault="0049325F" w:rsidP="004D643F">
            <w:pPr>
              <w:spacing w:after="0"/>
              <w:rPr>
                <w:rFonts w:cstheme="minorHAnsi"/>
                <w:b/>
                <w:bCs/>
              </w:rPr>
            </w:pPr>
            <w:r w:rsidRPr="00E03459">
              <w:rPr>
                <w:rFonts w:cstheme="minorHAnsi"/>
                <w:b/>
                <w:bCs/>
              </w:rPr>
              <w:t xml:space="preserve">Authors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08A61CFA" w14:textId="77777777" w:rsidR="0049325F" w:rsidRPr="00CB1F75" w:rsidRDefault="001C7B19" w:rsidP="004D643F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STPN SIC</w:t>
            </w:r>
            <w:r w:rsidR="007D76F4">
              <w:rPr>
                <w:rFonts w:cstheme="minorHAnsi"/>
              </w:rPr>
              <w:t xml:space="preserve"> ODN team, Shyamala Moganasundram</w:t>
            </w:r>
            <w:r w:rsidR="008725B2">
              <w:rPr>
                <w:rFonts w:cstheme="minorHAnsi"/>
              </w:rPr>
              <w:t xml:space="preserve"> (ELCH)</w:t>
            </w:r>
            <w:r w:rsidR="007D76F4">
              <w:rPr>
                <w:rFonts w:cstheme="minorHAnsi"/>
              </w:rPr>
              <w:t>, Samantha Black</w:t>
            </w:r>
            <w:r w:rsidR="008725B2">
              <w:rPr>
                <w:rFonts w:cstheme="minorHAnsi"/>
              </w:rPr>
              <w:t xml:space="preserve"> (Medway)</w:t>
            </w:r>
            <w:r w:rsidR="007D76F4">
              <w:rPr>
                <w:rFonts w:cstheme="minorHAnsi"/>
              </w:rPr>
              <w:t>, Natalie Oliver-Hendy</w:t>
            </w:r>
            <w:r w:rsidR="008725B2">
              <w:rPr>
                <w:rFonts w:cstheme="minorHAnsi"/>
              </w:rPr>
              <w:t xml:space="preserve"> (East Kent Hospitals Trust)</w:t>
            </w:r>
            <w:r w:rsidR="007D76F4">
              <w:rPr>
                <w:rFonts w:cstheme="minorHAnsi"/>
              </w:rPr>
              <w:t>, Lynne Mould</w:t>
            </w:r>
            <w:r w:rsidR="008725B2">
              <w:rPr>
                <w:rFonts w:cstheme="minorHAnsi"/>
              </w:rPr>
              <w:t xml:space="preserve"> (University Hospitals Sussex)</w:t>
            </w:r>
          </w:p>
        </w:tc>
      </w:tr>
      <w:tr w:rsidR="0049325F" w:rsidRPr="00CB1F75" w14:paraId="657043C4" w14:textId="77777777" w:rsidTr="004D643F">
        <w:trPr>
          <w:trHeight w:val="2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3E5AE227" w14:textId="77777777" w:rsidR="0049325F" w:rsidRPr="00E03459" w:rsidRDefault="0049325F" w:rsidP="004D643F">
            <w:pPr>
              <w:spacing w:after="0"/>
              <w:rPr>
                <w:rFonts w:cstheme="minorHAnsi"/>
                <w:b/>
                <w:bCs/>
              </w:rPr>
            </w:pPr>
            <w:r w:rsidRPr="00E03459">
              <w:rPr>
                <w:rFonts w:cstheme="minorHAnsi"/>
                <w:b/>
                <w:bCs/>
              </w:rPr>
              <w:t>Consultation provided by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3FA2D91F" w14:textId="77777777" w:rsidR="0049325F" w:rsidRPr="00CB1F75" w:rsidRDefault="008725B2" w:rsidP="004D643F">
            <w:pPr>
              <w:spacing w:after="0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Asme</w:t>
            </w:r>
            <w:proofErr w:type="spellEnd"/>
            <w:r>
              <w:rPr>
                <w:rFonts w:cstheme="minorHAnsi"/>
              </w:rPr>
              <w:t xml:space="preserve"> Sheikh (KCH), Elaine Monahan and Elizabeth O’Donohoe (SGH), Keith O’Toole (ASPH), Susy Logan (Lewisham and Greenwich)</w:t>
            </w:r>
          </w:p>
        </w:tc>
      </w:tr>
      <w:tr w:rsidR="0049325F" w:rsidRPr="00CB1F75" w14:paraId="4D84E3E8" w14:textId="77777777" w:rsidTr="004D643F">
        <w:trPr>
          <w:trHeight w:val="2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EE49750" w14:textId="77777777" w:rsidR="0049325F" w:rsidRPr="00E03459" w:rsidRDefault="0049325F" w:rsidP="004D643F">
            <w:pPr>
              <w:spacing w:after="0"/>
              <w:rPr>
                <w:rFonts w:cstheme="minorHAnsi"/>
                <w:b/>
                <w:bCs/>
              </w:rPr>
            </w:pPr>
            <w:r w:rsidRPr="00E03459">
              <w:rPr>
                <w:rFonts w:cstheme="minorHAnsi"/>
                <w:b/>
                <w:bCs/>
              </w:rPr>
              <w:t>Approved by and date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428D9B20" w14:textId="77777777" w:rsidR="0049325F" w:rsidRPr="00CB1F75" w:rsidRDefault="008725B2" w:rsidP="004D643F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STPN Preas</w:t>
            </w:r>
            <w:r w:rsidR="007D76F4">
              <w:rPr>
                <w:rFonts w:cstheme="minorHAnsi"/>
              </w:rPr>
              <w:t>sessment</w:t>
            </w:r>
            <w:r>
              <w:rPr>
                <w:rFonts w:cstheme="minorHAnsi"/>
              </w:rPr>
              <w:t xml:space="preserve"> Task and Finish Group January 2023</w:t>
            </w:r>
          </w:p>
        </w:tc>
      </w:tr>
      <w:tr w:rsidR="0049325F" w:rsidRPr="00CB1F75" w14:paraId="71F6BD1C" w14:textId="77777777" w:rsidTr="004D643F">
        <w:trPr>
          <w:trHeight w:val="51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E28077B" w14:textId="77777777" w:rsidR="0049325F" w:rsidRPr="00E03459" w:rsidRDefault="0049325F" w:rsidP="004D643F">
            <w:pPr>
              <w:spacing w:after="0"/>
              <w:rPr>
                <w:rFonts w:cstheme="minorHAnsi"/>
                <w:b/>
                <w:bCs/>
              </w:rPr>
            </w:pPr>
            <w:r w:rsidRPr="00E03459">
              <w:rPr>
                <w:rFonts w:cstheme="minorHAnsi"/>
                <w:b/>
                <w:bCs/>
              </w:rPr>
              <w:t>Related documents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60B3EF78" w14:textId="77777777" w:rsidR="0049325F" w:rsidRPr="00CB1F75" w:rsidRDefault="007D76F4" w:rsidP="004D643F">
            <w:pPr>
              <w:spacing w:after="0"/>
              <w:jc w:val="both"/>
              <w:rPr>
                <w:rFonts w:cstheme="minorHAnsi"/>
              </w:rPr>
            </w:pPr>
            <w:r w:rsidRPr="007D76F4">
              <w:rPr>
                <w:rFonts w:cstheme="minorHAnsi"/>
              </w:rPr>
              <w:t>https://www.apagbi.org.uk/guidelines</w:t>
            </w:r>
            <w:r>
              <w:rPr>
                <w:rFonts w:cstheme="minorHAnsi"/>
              </w:rPr>
              <w:t xml:space="preserve"> </w:t>
            </w:r>
            <w:r w:rsidR="0049325F" w:rsidRPr="00CB1F75">
              <w:rPr>
                <w:rFonts w:cstheme="minorHAnsi"/>
              </w:rPr>
              <w:t xml:space="preserve">and </w:t>
            </w:r>
            <w:r w:rsidR="00C82C66" w:rsidRPr="00CB1F75">
              <w:rPr>
                <w:rFonts w:cstheme="minorHAnsi"/>
              </w:rPr>
              <w:t>any locally agreed policies which should be followed at all times by local clinical teams.</w:t>
            </w:r>
          </w:p>
        </w:tc>
      </w:tr>
      <w:tr w:rsidR="0049325F" w:rsidRPr="00CB1F75" w14:paraId="2493E900" w14:textId="77777777" w:rsidTr="004D643F">
        <w:trPr>
          <w:trHeight w:val="20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1C1D84E" w14:textId="77777777" w:rsidR="0049325F" w:rsidRPr="00CB1F75" w:rsidRDefault="0049325F" w:rsidP="004D643F">
            <w:pPr>
              <w:spacing w:after="0"/>
              <w:jc w:val="both"/>
              <w:rPr>
                <w:rFonts w:cstheme="minorHAnsi"/>
              </w:rPr>
            </w:pPr>
            <w:r w:rsidRPr="004D643F">
              <w:rPr>
                <w:rFonts w:cstheme="minorHAnsi"/>
                <w:b/>
                <w:bCs/>
                <w:color w:val="FFFFFF" w:themeColor="background1"/>
              </w:rPr>
              <w:t xml:space="preserve">Document Benefits </w:t>
            </w:r>
          </w:p>
        </w:tc>
      </w:tr>
      <w:tr w:rsidR="0049325F" w:rsidRPr="00CB1F75" w14:paraId="41B22A5A" w14:textId="77777777" w:rsidTr="004D643F">
        <w:trPr>
          <w:trHeight w:val="2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595E7579" w14:textId="77777777" w:rsidR="0049325F" w:rsidRPr="00E03459" w:rsidRDefault="0049325F" w:rsidP="004D643F">
            <w:pPr>
              <w:spacing w:after="0"/>
              <w:rPr>
                <w:rFonts w:cstheme="minorHAnsi"/>
                <w:b/>
                <w:bCs/>
              </w:rPr>
            </w:pPr>
            <w:r w:rsidRPr="00E03459">
              <w:rPr>
                <w:rFonts w:cstheme="minorHAnsi"/>
                <w:b/>
                <w:bCs/>
              </w:rPr>
              <w:t>Key Improvements / Benefits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7CD7FF2" w14:textId="77777777" w:rsidR="0049325F" w:rsidRPr="00CB1F75" w:rsidRDefault="00C82C66" w:rsidP="004D643F">
            <w:pPr>
              <w:spacing w:after="0"/>
              <w:jc w:val="both"/>
              <w:rPr>
                <w:rFonts w:cstheme="minorHAnsi"/>
              </w:rPr>
            </w:pPr>
            <w:r w:rsidRPr="00CB1F75">
              <w:rPr>
                <w:rFonts w:cstheme="minorHAnsi"/>
              </w:rPr>
              <w:t xml:space="preserve">Reduce variation in </w:t>
            </w:r>
            <w:r w:rsidR="007D76F4">
              <w:rPr>
                <w:rFonts w:cstheme="minorHAnsi"/>
              </w:rPr>
              <w:t xml:space="preserve">the quality of preassessment for children. Properly define the time required for high quality preassessment for consultants and nurses in their job plans. Improve patient safety, </w:t>
            </w:r>
            <w:r w:rsidR="008725B2">
              <w:rPr>
                <w:rFonts w:cstheme="minorHAnsi"/>
              </w:rPr>
              <w:t xml:space="preserve">improve efficiency in paediatric surgical services, </w:t>
            </w:r>
            <w:r w:rsidR="007D76F4">
              <w:rPr>
                <w:rFonts w:cstheme="minorHAnsi"/>
              </w:rPr>
              <w:t>support delivery of care close to home, ensure children are optimised prior to surgery, and that they receive psychological preparation.</w:t>
            </w:r>
          </w:p>
        </w:tc>
      </w:tr>
      <w:tr w:rsidR="0049325F" w:rsidRPr="00CB1F75" w14:paraId="4D59341A" w14:textId="77777777" w:rsidTr="004D643F">
        <w:trPr>
          <w:trHeight w:val="20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6B0F8474" w14:textId="77777777" w:rsidR="0049325F" w:rsidRPr="00CB1F75" w:rsidRDefault="0049325F" w:rsidP="004D643F">
            <w:pPr>
              <w:spacing w:after="0"/>
              <w:jc w:val="both"/>
              <w:rPr>
                <w:rFonts w:cstheme="minorHAnsi"/>
              </w:rPr>
            </w:pPr>
            <w:r w:rsidRPr="004D643F">
              <w:rPr>
                <w:rFonts w:cstheme="minorHAnsi"/>
                <w:b/>
                <w:bCs/>
                <w:color w:val="FFFFFF" w:themeColor="background1"/>
              </w:rPr>
              <w:t xml:space="preserve">Project Evaluation </w:t>
            </w:r>
          </w:p>
        </w:tc>
      </w:tr>
      <w:tr w:rsidR="0049325F" w:rsidRPr="00CB1F75" w14:paraId="683A5295" w14:textId="77777777" w:rsidTr="004D643F">
        <w:trPr>
          <w:trHeight w:val="2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2309AE4" w14:textId="77777777" w:rsidR="0049325F" w:rsidRPr="00E03459" w:rsidRDefault="0049325F" w:rsidP="004D643F">
            <w:pPr>
              <w:spacing w:after="0"/>
              <w:rPr>
                <w:rFonts w:cstheme="minorHAnsi"/>
                <w:b/>
                <w:bCs/>
              </w:rPr>
            </w:pPr>
            <w:r w:rsidRPr="00E03459">
              <w:rPr>
                <w:rFonts w:cstheme="minorHAnsi"/>
                <w:b/>
                <w:bCs/>
              </w:rPr>
              <w:t>Evaluation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4DB307AD" w14:textId="5CCF11B1" w:rsidR="0049325F" w:rsidRPr="00CB1F75" w:rsidRDefault="007D76F4" w:rsidP="004D643F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Review local implementation of preassessment best practise guidance with providers or through the governance forum</w:t>
            </w:r>
            <w:r w:rsidR="004D643F">
              <w:rPr>
                <w:rFonts w:cstheme="minorHAnsi"/>
              </w:rPr>
              <w:t>.</w:t>
            </w:r>
          </w:p>
        </w:tc>
      </w:tr>
      <w:tr w:rsidR="0049325F" w:rsidRPr="00CB1F75" w14:paraId="478A96C0" w14:textId="77777777" w:rsidTr="004D643F">
        <w:trPr>
          <w:trHeight w:val="20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07F1D0F" w14:textId="77777777" w:rsidR="0049325F" w:rsidRPr="004D643F" w:rsidRDefault="0049325F" w:rsidP="004D643F">
            <w:pPr>
              <w:spacing w:after="0"/>
              <w:jc w:val="both"/>
              <w:rPr>
                <w:rFonts w:cstheme="minorHAnsi"/>
                <w:color w:val="FFFFFF" w:themeColor="background1"/>
              </w:rPr>
            </w:pPr>
            <w:r w:rsidRPr="004D643F">
              <w:rPr>
                <w:rFonts w:cstheme="minorHAnsi"/>
                <w:b/>
                <w:bCs/>
                <w:color w:val="FFFFFF" w:themeColor="background1"/>
              </w:rPr>
              <w:t xml:space="preserve">Implementation / Recommendations: Next Steps  </w:t>
            </w:r>
          </w:p>
        </w:tc>
      </w:tr>
      <w:tr w:rsidR="0049325F" w:rsidRPr="00CB1F75" w14:paraId="49C1F7D2" w14:textId="77777777" w:rsidTr="004D643F">
        <w:trPr>
          <w:trHeight w:val="2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AC61679" w14:textId="77777777" w:rsidR="0049325F" w:rsidRPr="00E03459" w:rsidRDefault="0049325F" w:rsidP="004D643F">
            <w:pPr>
              <w:spacing w:after="0"/>
              <w:rPr>
                <w:rFonts w:cstheme="minorHAnsi"/>
                <w:b/>
                <w:bCs/>
              </w:rPr>
            </w:pPr>
            <w:r w:rsidRPr="00E03459">
              <w:rPr>
                <w:rFonts w:cstheme="minorHAnsi"/>
                <w:b/>
                <w:bCs/>
              </w:rPr>
              <w:t>Step 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0C58E7D1" w14:textId="77777777" w:rsidR="0049325F" w:rsidRPr="00CB1F75" w:rsidRDefault="005A5342" w:rsidP="004D643F">
            <w:pPr>
              <w:spacing w:after="0"/>
              <w:jc w:val="both"/>
              <w:rPr>
                <w:rFonts w:cstheme="minorHAnsi"/>
              </w:rPr>
            </w:pPr>
            <w:r w:rsidRPr="00CB1F75">
              <w:rPr>
                <w:rFonts w:cstheme="minorHAnsi"/>
              </w:rPr>
              <w:t>Share with the STPN Governance Forum</w:t>
            </w:r>
          </w:p>
        </w:tc>
      </w:tr>
      <w:tr w:rsidR="0049325F" w:rsidRPr="00CB1F75" w14:paraId="0A2F69B0" w14:textId="77777777" w:rsidTr="004D643F">
        <w:trPr>
          <w:trHeight w:val="2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314D044A" w14:textId="77777777" w:rsidR="0049325F" w:rsidRPr="00E03459" w:rsidRDefault="0049325F" w:rsidP="004D643F">
            <w:pPr>
              <w:spacing w:after="0"/>
              <w:rPr>
                <w:rFonts w:cstheme="minorHAnsi"/>
                <w:b/>
                <w:bCs/>
              </w:rPr>
            </w:pPr>
            <w:r w:rsidRPr="00E03459">
              <w:rPr>
                <w:rFonts w:cstheme="minorHAnsi"/>
                <w:b/>
                <w:bCs/>
              </w:rPr>
              <w:t>Step 2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2AA4BEB" w14:textId="77777777" w:rsidR="0049325F" w:rsidRPr="00CB1F75" w:rsidRDefault="005A5342" w:rsidP="004D643F">
            <w:pPr>
              <w:spacing w:after="0"/>
              <w:jc w:val="both"/>
              <w:rPr>
                <w:rFonts w:cstheme="minorHAnsi"/>
              </w:rPr>
            </w:pPr>
            <w:r w:rsidRPr="00CB1F75">
              <w:rPr>
                <w:rFonts w:cstheme="minorHAnsi"/>
              </w:rPr>
              <w:t xml:space="preserve">STPN </w:t>
            </w:r>
            <w:r w:rsidR="007D76F4">
              <w:rPr>
                <w:rFonts w:cstheme="minorHAnsi"/>
              </w:rPr>
              <w:t xml:space="preserve">to create a tool kit to develop preassessment services, as well as </w:t>
            </w:r>
            <w:r w:rsidR="00F12386">
              <w:rPr>
                <w:rFonts w:cstheme="minorHAnsi"/>
              </w:rPr>
              <w:t>these</w:t>
            </w:r>
            <w:r w:rsidR="007D76F4">
              <w:rPr>
                <w:rFonts w:cstheme="minorHAnsi"/>
              </w:rPr>
              <w:t xml:space="preserve"> documents, the tool kit will </w:t>
            </w:r>
            <w:proofErr w:type="gramStart"/>
            <w:r w:rsidR="007D76F4">
              <w:rPr>
                <w:rFonts w:cstheme="minorHAnsi"/>
              </w:rPr>
              <w:t>include;</w:t>
            </w:r>
            <w:proofErr w:type="gramEnd"/>
            <w:r w:rsidR="007D76F4">
              <w:rPr>
                <w:rFonts w:cstheme="minorHAnsi"/>
              </w:rPr>
              <w:t xml:space="preserve"> a case for change, operational support</w:t>
            </w:r>
            <w:r w:rsidR="00F12386">
              <w:rPr>
                <w:rFonts w:cstheme="minorHAnsi"/>
              </w:rPr>
              <w:t>, ideas around provision of psychological preparation</w:t>
            </w:r>
          </w:p>
        </w:tc>
      </w:tr>
    </w:tbl>
    <w:p w14:paraId="57F64D64" w14:textId="0577E653" w:rsidR="00D57515" w:rsidRDefault="004D643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F03E7F9" wp14:editId="5AE97710">
            <wp:simplePos x="0" y="0"/>
            <wp:positionH relativeFrom="margin">
              <wp:posOffset>5209770</wp:posOffset>
            </wp:positionH>
            <wp:positionV relativeFrom="margin">
              <wp:posOffset>-401955</wp:posOffset>
            </wp:positionV>
            <wp:extent cx="1740535" cy="6413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PN Logo Mar 2021 - Huge (2000x738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7515" w:rsidSect="004D643F">
      <w:pgSz w:w="11906" w:h="16838"/>
      <w:pgMar w:top="90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5F"/>
    <w:rsid w:val="000F435B"/>
    <w:rsid w:val="001C7B19"/>
    <w:rsid w:val="001D06F5"/>
    <w:rsid w:val="0049325F"/>
    <w:rsid w:val="004D643F"/>
    <w:rsid w:val="004E0C65"/>
    <w:rsid w:val="005A5342"/>
    <w:rsid w:val="005A6544"/>
    <w:rsid w:val="007907A6"/>
    <w:rsid w:val="007D76F4"/>
    <w:rsid w:val="00863A77"/>
    <w:rsid w:val="008725B2"/>
    <w:rsid w:val="008A3FB7"/>
    <w:rsid w:val="008F482D"/>
    <w:rsid w:val="00C012B9"/>
    <w:rsid w:val="00C82C66"/>
    <w:rsid w:val="00CB1F75"/>
    <w:rsid w:val="00D57515"/>
    <w:rsid w:val="00E03459"/>
    <w:rsid w:val="00EB7483"/>
    <w:rsid w:val="00F1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6928E"/>
  <w15:chartTrackingRefBased/>
  <w15:docId w15:val="{A3C49BF2-8E60-4AED-AB28-E92A9B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2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32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Cabib Miriam</dc:creator>
  <cp:keywords/>
  <dc:description/>
  <cp:lastModifiedBy>Joanne Arenas</cp:lastModifiedBy>
  <cp:revision>7</cp:revision>
  <dcterms:created xsi:type="dcterms:W3CDTF">2023-02-08T14:51:00Z</dcterms:created>
  <dcterms:modified xsi:type="dcterms:W3CDTF">2023-02-08T16:17:00Z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279c3e22-995e-4741-a181-bd75d682f3eb</vt:lpwstr>
  </property>
</Properties>
</file>